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spacing w:line="240" w:lineRule="exact"/>
        <w:ind w:firstLine="0" w:left="-181"/>
        <w:jc w:val="center"/>
        <w:rPr>
          <w:b w:val="1"/>
          <w:color w:val="000000"/>
        </w:rPr>
      </w:pPr>
    </w:p>
    <w:p w14:paraId="04000000">
      <w:pPr>
        <w:widowControl w:val="0"/>
        <w:spacing w:line="240" w:lineRule="exact"/>
        <w:ind w:firstLine="0" w:left="-181"/>
        <w:jc w:val="center"/>
        <w:rPr>
          <w:b w:val="1"/>
          <w:color w:val="000000"/>
        </w:rPr>
      </w:pPr>
      <w:r>
        <w:rPr>
          <w:b w:val="1"/>
          <w:color w:val="000000"/>
        </w:rPr>
        <w:t>ГРАФИК</w:t>
      </w:r>
    </w:p>
    <w:p w14:paraId="05000000">
      <w:pPr>
        <w:widowControl w:val="0"/>
        <w:spacing w:line="240" w:lineRule="exact"/>
        <w:ind w:firstLine="0" w:left="-181"/>
        <w:jc w:val="center"/>
        <w:rPr>
          <w:color w:val="000000"/>
        </w:rPr>
      </w:pPr>
      <w:r>
        <w:rPr>
          <w:color w:val="000000"/>
        </w:rPr>
        <w:t xml:space="preserve">тематических </w:t>
      </w:r>
      <w:r>
        <w:rPr>
          <w:color w:val="000000"/>
        </w:rPr>
        <w:t>при</w:t>
      </w:r>
      <w:r>
        <w:rPr>
          <w:color w:val="000000"/>
        </w:rPr>
        <w:t>ё</w:t>
      </w:r>
      <w:r>
        <w:rPr>
          <w:color w:val="000000"/>
        </w:rPr>
        <w:t>м</w:t>
      </w:r>
      <w:r>
        <w:rPr>
          <w:color w:val="000000"/>
        </w:rPr>
        <w:t>ов</w:t>
      </w:r>
      <w:r>
        <w:rPr>
          <w:color w:val="000000"/>
        </w:rPr>
        <w:t xml:space="preserve"> граждан </w:t>
      </w: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первом</w:t>
      </w:r>
      <w:r>
        <w:rPr>
          <w:color w:val="000000"/>
        </w:rPr>
        <w:t xml:space="preserve"> полугодии </w:t>
      </w:r>
      <w:r>
        <w:rPr>
          <w:color w:val="000000"/>
        </w:rPr>
        <w:t>202</w:t>
      </w:r>
      <w:r>
        <w:rPr>
          <w:color w:val="000000"/>
        </w:rPr>
        <w:t>6</w:t>
      </w:r>
      <w:r>
        <w:rPr>
          <w:color w:val="000000"/>
        </w:rPr>
        <w:t xml:space="preserve"> год</w:t>
      </w:r>
      <w:r>
        <w:rPr>
          <w:color w:val="000000"/>
        </w:rPr>
        <w:t>а</w:t>
      </w:r>
    </w:p>
    <w:p w14:paraId="06000000">
      <w:pPr>
        <w:widowControl w:val="0"/>
        <w:ind/>
        <w:jc w:val="both"/>
      </w:pPr>
      <w:r>
        <w:tab/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668"/>
        <w:gridCol w:w="8221"/>
      </w:tblGrid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00000">
            <w:pPr>
              <w:widowControl w:val="0"/>
              <w:ind/>
              <w:jc w:val="center"/>
            </w:pPr>
            <w:r>
              <w:t>дата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widowControl w:val="0"/>
              <w:ind/>
              <w:jc w:val="center"/>
            </w:pPr>
            <w:r>
              <w:t>тема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00000">
            <w:pPr>
              <w:widowControl w:val="0"/>
              <w:ind/>
              <w:jc w:val="center"/>
            </w:pPr>
            <w:r>
              <w:t>20.01.2026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00000">
            <w:pPr>
              <w:widowControl w:val="0"/>
              <w:ind/>
              <w:jc w:val="center"/>
            </w:pPr>
            <w:r>
              <w:t xml:space="preserve">соблюдение прав граждан </w:t>
            </w:r>
            <w:r>
              <w:t>при осуществлении принудительного исполнения решений суда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00000">
            <w:pPr>
              <w:widowControl w:val="0"/>
              <w:ind/>
              <w:jc w:val="center"/>
            </w:pPr>
            <w:r>
              <w:t>27</w:t>
            </w:r>
            <w:r>
              <w:t>.0</w:t>
            </w:r>
            <w:r>
              <w:t>1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00000">
            <w:pPr>
              <w:widowControl w:val="0"/>
              <w:ind/>
              <w:jc w:val="center"/>
            </w:pPr>
            <w:r>
              <w:t>соблюдение прав участников боевых действий</w:t>
            </w:r>
            <w:r>
              <w:t xml:space="preserve"> и членов их семей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00000">
            <w:pPr>
              <w:widowControl w:val="0"/>
              <w:ind/>
              <w:jc w:val="center"/>
            </w:pPr>
            <w:r>
              <w:t>0</w:t>
            </w:r>
            <w:r>
              <w:t>3</w:t>
            </w:r>
            <w:r>
              <w:t>.0</w:t>
            </w:r>
            <w:r>
              <w:t>2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00000">
            <w:pPr>
              <w:widowControl w:val="0"/>
              <w:ind/>
              <w:jc w:val="center"/>
            </w:pPr>
            <w:r>
              <w:t>соблюдение прав граждан с ограниченными возможностями по здоровью</w:t>
            </w:r>
            <w:r>
              <w:t xml:space="preserve"> и граждан пенсионного возраста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00000">
            <w:pPr>
              <w:widowControl w:val="0"/>
              <w:ind/>
              <w:jc w:val="center"/>
            </w:pPr>
            <w:r>
              <w:t>10.02.2026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00000">
            <w:pPr>
              <w:widowControl w:val="0"/>
              <w:ind/>
              <w:jc w:val="center"/>
            </w:pPr>
            <w:r>
              <w:t>соблюдение прав граждан в сфере жилищно-коммунального хозяйства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00000">
            <w:pPr>
              <w:widowControl w:val="0"/>
              <w:ind/>
              <w:jc w:val="center"/>
            </w:pPr>
            <w:r>
              <w:t>1</w:t>
            </w:r>
            <w:r>
              <w:t>7</w:t>
            </w:r>
            <w:r>
              <w:t>.02.2026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00000">
            <w:pPr>
              <w:widowControl w:val="0"/>
              <w:ind/>
              <w:jc w:val="center"/>
            </w:pPr>
            <w:r>
              <w:t>соблюдение прав участников боевых действий и членов их семей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00000">
            <w:pPr>
              <w:widowControl w:val="0"/>
              <w:ind/>
              <w:jc w:val="center"/>
            </w:pPr>
            <w:r>
              <w:t>26</w:t>
            </w:r>
            <w:r>
              <w:t>.0</w:t>
            </w:r>
            <w:r>
              <w:t>2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widowControl w:val="0"/>
              <w:ind/>
              <w:jc w:val="center"/>
            </w:pPr>
            <w:r>
              <w:t>обеспечение лекарственными препаратами и техническими средствами реабилитации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widowControl w:val="0"/>
              <w:ind/>
              <w:jc w:val="center"/>
            </w:pPr>
            <w:r>
              <w:t>0</w:t>
            </w:r>
            <w:r>
              <w:t>3</w:t>
            </w:r>
            <w:r>
              <w:t>.0</w:t>
            </w:r>
            <w:r>
              <w:t>3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widowControl w:val="0"/>
              <w:ind/>
              <w:jc w:val="center"/>
            </w:pPr>
            <w:r>
              <w:t>соблюдение прав несовершеннолетних и молодёжи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widowControl w:val="0"/>
              <w:ind/>
              <w:jc w:val="center"/>
            </w:pPr>
            <w:r>
              <w:t>17.03.2026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widowControl w:val="0"/>
              <w:ind/>
              <w:jc w:val="center"/>
            </w:pPr>
            <w:r>
              <w:t>соблюдение прав граждан с ограниченными возможностями по здоровью и граждан пенсионного возраста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widowControl w:val="0"/>
              <w:ind/>
              <w:jc w:val="center"/>
            </w:pPr>
            <w:r>
              <w:t>2</w:t>
            </w:r>
            <w:r>
              <w:t>4</w:t>
            </w:r>
            <w:r>
              <w:t>.03.2026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widowControl w:val="0"/>
              <w:ind/>
              <w:jc w:val="center"/>
            </w:pPr>
            <w:r>
              <w:t>соблюдение прав участников боевых действий и членов их семей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widowControl w:val="0"/>
              <w:ind/>
              <w:jc w:val="center"/>
            </w:pPr>
            <w:r>
              <w:t>31.03.2026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widowControl w:val="0"/>
              <w:ind/>
              <w:jc w:val="center"/>
            </w:pPr>
            <w:r>
              <w:t>обеспечение лекарственными препаратами и техническими средствами реабилитации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widowControl w:val="0"/>
              <w:ind/>
              <w:jc w:val="center"/>
            </w:pPr>
            <w:r>
              <w:t>0</w:t>
            </w:r>
            <w:r>
              <w:t>7</w:t>
            </w:r>
            <w:r>
              <w:t>.0</w:t>
            </w:r>
            <w:r>
              <w:t>4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widowControl w:val="0"/>
              <w:ind/>
              <w:jc w:val="center"/>
            </w:pPr>
            <w:r>
              <w:t>соблюдение трудовых прав граждан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widowControl w:val="0"/>
              <w:ind/>
              <w:jc w:val="center"/>
            </w:pPr>
            <w:r>
              <w:t>1</w:t>
            </w:r>
            <w:r>
              <w:t>4</w:t>
            </w:r>
            <w:r>
              <w:t>.0</w:t>
            </w:r>
            <w:r>
              <w:t>4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widowControl w:val="0"/>
              <w:ind/>
              <w:jc w:val="center"/>
            </w:pPr>
            <w:r>
              <w:t>соблюдение прав участников долевого строительства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widowControl w:val="0"/>
              <w:ind/>
              <w:jc w:val="center"/>
            </w:pPr>
            <w:r>
              <w:t>2</w:t>
            </w:r>
            <w:r>
              <w:t>1</w:t>
            </w:r>
            <w:r>
              <w:t>.0</w:t>
            </w:r>
            <w:r>
              <w:t>4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widowControl w:val="0"/>
              <w:ind/>
              <w:jc w:val="center"/>
            </w:pPr>
            <w:r>
              <w:t>соблюдение прав граждан с ограниченными возможностями по здоровью</w:t>
            </w:r>
            <w:r>
              <w:t xml:space="preserve"> и граждан пенсионного возраста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widowControl w:val="0"/>
              <w:ind/>
              <w:jc w:val="center"/>
            </w:pPr>
            <w:r>
              <w:t>28.04.2026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widowControl w:val="0"/>
              <w:ind/>
              <w:jc w:val="center"/>
            </w:pPr>
            <w:r>
              <w:t>соблюдение прав граждан при осуществлении принудительного исполнения решений суда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widowControl w:val="0"/>
              <w:ind/>
              <w:jc w:val="center"/>
            </w:pPr>
            <w:r>
              <w:t>05</w:t>
            </w:r>
            <w:r>
              <w:t>.05.2026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widowControl w:val="0"/>
              <w:ind/>
              <w:jc w:val="center"/>
            </w:pPr>
            <w:r>
              <w:t>соблюдение прав участников боевых действий и членов их семей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widowControl w:val="0"/>
              <w:ind/>
              <w:jc w:val="center"/>
            </w:pPr>
            <w:r>
              <w:t>12</w:t>
            </w:r>
            <w:r>
              <w:t>.</w:t>
            </w:r>
            <w:r>
              <w:t>05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widowControl w:val="0"/>
              <w:ind/>
              <w:jc w:val="center"/>
            </w:pPr>
            <w:r>
              <w:t>соблюдение прав граждан в семье, профилактика бытового насилия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widowControl w:val="0"/>
              <w:ind/>
              <w:jc w:val="center"/>
            </w:pPr>
            <w:r>
              <w:t>19</w:t>
            </w:r>
            <w:r>
              <w:t>.</w:t>
            </w:r>
            <w:r>
              <w:t>05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widowControl w:val="0"/>
              <w:ind/>
              <w:jc w:val="center"/>
            </w:pPr>
            <w:r>
              <w:t>соблюдение прав граждан с ограниченными возможностями по здоровью</w:t>
            </w:r>
            <w:r>
              <w:t xml:space="preserve"> и граждан пенсионного возраста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widowControl w:val="0"/>
              <w:ind/>
              <w:jc w:val="center"/>
            </w:pPr>
            <w:r>
              <w:t>01</w:t>
            </w:r>
            <w:r>
              <w:t>.</w:t>
            </w:r>
            <w:r>
              <w:t>06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widowControl w:val="0"/>
              <w:ind/>
              <w:jc w:val="center"/>
            </w:pPr>
            <w:r>
              <w:t>соблюдение прав несовершеннолетних и молодёжи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0"/>
              <w:ind/>
              <w:jc w:val="center"/>
            </w:pPr>
            <w:r>
              <w:t>09</w:t>
            </w:r>
            <w:r>
              <w:t>.06.2026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widowControl w:val="0"/>
              <w:ind/>
              <w:jc w:val="center"/>
            </w:pPr>
            <w:r>
              <w:t>соблюдение трудовых прав граждан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widowControl w:val="0"/>
              <w:ind/>
              <w:jc w:val="center"/>
            </w:pPr>
            <w:r>
              <w:t>16</w:t>
            </w:r>
            <w:r>
              <w:t>.</w:t>
            </w:r>
            <w:r>
              <w:t>06</w:t>
            </w:r>
            <w:r>
              <w:t>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0"/>
              <w:ind/>
              <w:jc w:val="center"/>
            </w:pPr>
            <w:r>
              <w:t>соблюдение прав граждан с ограниченными возможностями по здоровью</w:t>
            </w:r>
            <w:r>
              <w:t xml:space="preserve"> и граждан пенсионного возраста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0"/>
              <w:ind/>
              <w:jc w:val="center"/>
            </w:pPr>
            <w:r>
              <w:t>2</w:t>
            </w:r>
            <w:r>
              <w:t>3</w:t>
            </w:r>
            <w:r>
              <w:t>.06.2026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0"/>
              <w:ind/>
              <w:jc w:val="center"/>
            </w:pPr>
            <w:r>
              <w:t>соблюдение прав участников боевых действий и членов их семей</w:t>
            </w:r>
          </w:p>
        </w:tc>
      </w:tr>
      <w:tr>
        <w:tc>
          <w:tcPr>
            <w:tcW w:type="dxa" w:w="1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0"/>
              <w:ind/>
              <w:jc w:val="center"/>
            </w:pPr>
            <w:r>
              <w:t>30.06.2026</w:t>
            </w:r>
          </w:p>
        </w:tc>
        <w:tc>
          <w:tcPr>
            <w:tcW w:type="dxa" w:w="8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0"/>
              <w:ind/>
              <w:jc w:val="center"/>
            </w:pPr>
            <w:r>
              <w:t>обеспечение лекарственными препаратами и техническими средствами реабилитации</w:t>
            </w:r>
          </w:p>
        </w:tc>
      </w:tr>
    </w:tbl>
    <w:p w14:paraId="35000000">
      <w:pPr>
        <w:widowControl w:val="0"/>
        <w:ind/>
        <w:jc w:val="both"/>
      </w:pPr>
      <w:r>
        <w:tab/>
      </w:r>
    </w:p>
    <w:sectPr>
      <w:headerReference r:id="rId1" w:type="default"/>
      <w:pgSz w:h="16838" w:orient="portrait" w:w="11906"/>
      <w:pgMar w:bottom="851" w:footer="709" w:gutter="0" w:header="709" w:left="1418" w:right="567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  <w:widowControl w:val="0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footer"/>
    <w:basedOn w:val="Style_3"/>
    <w:link w:val="Style_10_ch"/>
    <w:pPr>
      <w:widowControl w:val="0"/>
      <w:tabs>
        <w:tab w:leader="none" w:pos="4677" w:val="center"/>
        <w:tab w:leader="none" w:pos="9355" w:val="right"/>
      </w:tabs>
      <w:ind/>
    </w:pPr>
  </w:style>
  <w:style w:styleId="Style_10_ch" w:type="character">
    <w:name w:val="footer"/>
    <w:basedOn w:val="Style_3_ch"/>
    <w:link w:val="Style_10"/>
  </w:style>
  <w:style w:styleId="Style_11" w:type="paragraph">
    <w:name w:val="Balloon Text"/>
    <w:basedOn w:val="Style_3"/>
    <w:link w:val="Style_11_ch"/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toc 3"/>
    <w:next w:val="Style_3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Char Char"/>
    <w:basedOn w:val="Style_3"/>
    <w:link w:val="Style_20_ch"/>
    <w:rPr>
      <w:sz w:val="20"/>
    </w:rPr>
  </w:style>
  <w:style w:styleId="Style_20_ch" w:type="character">
    <w:name w:val="Char Char"/>
    <w:basedOn w:val="Style_3_ch"/>
    <w:link w:val="Style_20"/>
    <w:rPr>
      <w:sz w:val="20"/>
    </w:rPr>
  </w:style>
  <w:style w:styleId="Style_21" w:type="paragraph">
    <w:name w:val="Car Char1 Car Char Car Char Car Char Car Char Car Char Car Char Car Char Car Char Car Char Car Char"/>
    <w:basedOn w:val="Style_3"/>
    <w:link w:val="Style_21_ch"/>
    <w:pPr>
      <w:widowControl w:val="0"/>
      <w:spacing w:after="160" w:line="240" w:lineRule="exact"/>
      <w:ind/>
    </w:pPr>
    <w:rPr>
      <w:rFonts w:ascii="Arial" w:hAnsi="Arial"/>
      <w:sz w:val="20"/>
    </w:rPr>
  </w:style>
  <w:style w:styleId="Style_21_ch" w:type="character">
    <w:name w:val="Car Char1 Car Char Car Char Car Char Car Char Car Char Car Char Car Char Car Char Car Char Car Char"/>
    <w:basedOn w:val="Style_3_ch"/>
    <w:link w:val="Style_21"/>
    <w:rPr>
      <w:rFonts w:ascii="Arial" w:hAnsi="Arial"/>
      <w:sz w:val="20"/>
    </w:rPr>
  </w:style>
  <w:style w:styleId="Style_22" w:type="paragraph">
    <w:name w:val="toc 9"/>
    <w:next w:val="Style_3"/>
    <w:link w:val="Style_22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3"/>
    <w:link w:val="Style_2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3"/>
    <w:link w:val="Style_2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1" w:type="paragraph">
    <w:name w:val="header"/>
    <w:basedOn w:val="Style_3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6" w:type="paragraph">
    <w:name w:val="Title"/>
    <w:next w:val="Style_3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2026-01-13T07:33:54Z</dcterms:created>
  <dcterms:modified xsi:type="dcterms:W3CDTF">2026-01-13T07:34:08Z</dcterms:modified>
</cp:coreProperties>
</file>